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9"/>
        <w:gridCol w:w="1364"/>
        <w:gridCol w:w="4067"/>
        <w:gridCol w:w="2616"/>
      </w:tblGrid>
      <w:tr w:rsidR="00CE3E6C" w:rsidRPr="00A752E9" w14:paraId="7E5226FE" w14:textId="77777777" w:rsidTr="00AB4C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B8E5F8" w14:textId="77777777" w:rsidR="00CE3E6C" w:rsidRPr="00A752E9" w:rsidRDefault="00CE3E6C" w:rsidP="00AB4C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52E9">
              <w:rPr>
                <w:rFonts w:ascii="Arial" w:hAnsi="Arial" w:cs="Arial"/>
                <w:b/>
                <w:bCs/>
                <w:sz w:val="20"/>
                <w:szCs w:val="20"/>
              </w:rPr>
              <w:t>Timeline</w:t>
            </w:r>
          </w:p>
        </w:tc>
        <w:tc>
          <w:tcPr>
            <w:tcW w:w="0" w:type="auto"/>
            <w:vAlign w:val="center"/>
            <w:hideMark/>
          </w:tcPr>
          <w:p w14:paraId="7B5B2D23" w14:textId="77777777" w:rsidR="00CE3E6C" w:rsidRPr="00A752E9" w:rsidRDefault="00CE3E6C" w:rsidP="00AB4C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52E9">
              <w:rPr>
                <w:rFonts w:ascii="Arial" w:hAnsi="Arial" w:cs="Arial"/>
                <w:b/>
                <w:bCs/>
                <w:sz w:val="20"/>
                <w:szCs w:val="20"/>
              </w:rPr>
              <w:t>PPWR Article</w:t>
            </w:r>
          </w:p>
        </w:tc>
        <w:tc>
          <w:tcPr>
            <w:tcW w:w="0" w:type="auto"/>
            <w:vAlign w:val="center"/>
            <w:hideMark/>
          </w:tcPr>
          <w:p w14:paraId="73DF93F1" w14:textId="77777777" w:rsidR="00CE3E6C" w:rsidRPr="00A752E9" w:rsidRDefault="00CE3E6C" w:rsidP="00AB4C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52E9">
              <w:rPr>
                <w:rFonts w:ascii="Arial" w:hAnsi="Arial" w:cs="Arial"/>
                <w:b/>
                <w:bCs/>
                <w:sz w:val="20"/>
                <w:szCs w:val="20"/>
              </w:rPr>
              <w:t>Requirement</w:t>
            </w:r>
          </w:p>
        </w:tc>
        <w:tc>
          <w:tcPr>
            <w:tcW w:w="0" w:type="auto"/>
            <w:vAlign w:val="center"/>
            <w:hideMark/>
          </w:tcPr>
          <w:p w14:paraId="633B8B0C" w14:textId="76702F88" w:rsidR="00CE3E6C" w:rsidRPr="00A752E9" w:rsidRDefault="00565B81" w:rsidP="00AB4C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52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Probable </w:t>
            </w:r>
            <w:r w:rsidR="00CE3E6C" w:rsidRPr="00A752E9">
              <w:rPr>
                <w:rFonts w:ascii="Arial" w:hAnsi="Arial" w:cs="Arial"/>
                <w:b/>
                <w:bCs/>
                <w:sz w:val="20"/>
                <w:szCs w:val="20"/>
              </w:rPr>
              <w:t>Key Implication for Textile &amp; Apparel Industry</w:t>
            </w:r>
          </w:p>
        </w:tc>
      </w:tr>
      <w:tr w:rsidR="00CE3E6C" w:rsidRPr="00A752E9" w14:paraId="2E92BF62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EE419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By 31 Dec 2026</w:t>
            </w:r>
          </w:p>
        </w:tc>
        <w:tc>
          <w:tcPr>
            <w:tcW w:w="0" w:type="auto"/>
            <w:vAlign w:val="center"/>
            <w:hideMark/>
          </w:tcPr>
          <w:p w14:paraId="40715671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5</w:t>
            </w:r>
          </w:p>
        </w:tc>
        <w:tc>
          <w:tcPr>
            <w:tcW w:w="0" w:type="auto"/>
            <w:vAlign w:val="center"/>
            <w:hideMark/>
          </w:tcPr>
          <w:p w14:paraId="570E1234" w14:textId="0EFDC3ED" w:rsidR="00CE3E6C" w:rsidRPr="00A752E9" w:rsidRDefault="00AB4CFF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the Commission, assisted by the European Chemicals Agency, shall prepare a report on the presence of substances of concern in packaging and packaging components, to determine the extent to which they negatively affect the re-use and recycling of materials or impact chemical safety. That report may list the substances of concern present in packaging and packaging components.</w:t>
            </w:r>
          </w:p>
        </w:tc>
        <w:tc>
          <w:tcPr>
            <w:tcW w:w="0" w:type="auto"/>
            <w:vAlign w:val="center"/>
            <w:hideMark/>
          </w:tcPr>
          <w:p w14:paraId="51DD36F9" w14:textId="06E46B5D" w:rsidR="00CE3E6C" w:rsidRPr="00A752E9" w:rsidRDefault="00AB4CFF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Greater scrutiny of the chemical composition and safety of textile packaging, including plastics, coatings, adhesives and other packaging components.</w:t>
            </w:r>
          </w:p>
        </w:tc>
      </w:tr>
      <w:tr w:rsidR="00CE3E6C" w:rsidRPr="00A752E9" w14:paraId="0E78F95F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4CCAC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By 31 Dec 2026</w:t>
            </w:r>
          </w:p>
        </w:tc>
        <w:tc>
          <w:tcPr>
            <w:tcW w:w="0" w:type="auto"/>
            <w:vAlign w:val="center"/>
            <w:hideMark/>
          </w:tcPr>
          <w:p w14:paraId="6EECB38E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7</w:t>
            </w:r>
          </w:p>
        </w:tc>
        <w:tc>
          <w:tcPr>
            <w:tcW w:w="0" w:type="auto"/>
            <w:vAlign w:val="center"/>
            <w:hideMark/>
          </w:tcPr>
          <w:p w14:paraId="09B13CF5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Commission to establish the methodology for calculation and verification of recycled content.</w:t>
            </w:r>
          </w:p>
        </w:tc>
        <w:tc>
          <w:tcPr>
            <w:tcW w:w="0" w:type="auto"/>
            <w:vAlign w:val="center"/>
            <w:hideMark/>
          </w:tcPr>
          <w:p w14:paraId="6F7C4BE8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Exporters will need traceable and verifiable recycled-content data from packaging suppliers.</w:t>
            </w:r>
          </w:p>
        </w:tc>
      </w:tr>
      <w:tr w:rsidR="00CE3E6C" w:rsidRPr="00A752E9" w14:paraId="4E4DF66E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36F2D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From 12 Aug 2028</w:t>
            </w:r>
          </w:p>
        </w:tc>
        <w:tc>
          <w:tcPr>
            <w:tcW w:w="0" w:type="auto"/>
            <w:vAlign w:val="center"/>
            <w:hideMark/>
          </w:tcPr>
          <w:p w14:paraId="68CCFDFE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12</w:t>
            </w:r>
          </w:p>
        </w:tc>
        <w:tc>
          <w:tcPr>
            <w:tcW w:w="0" w:type="auto"/>
            <w:vAlign w:val="center"/>
            <w:hideMark/>
          </w:tcPr>
          <w:p w14:paraId="1B38E1A7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Harmonised packaging labels indicating material composition to facilitate sorting.</w:t>
            </w:r>
          </w:p>
        </w:tc>
        <w:tc>
          <w:tcPr>
            <w:tcW w:w="0" w:type="auto"/>
            <w:vAlign w:val="center"/>
            <w:hideMark/>
          </w:tcPr>
          <w:p w14:paraId="7035781D" w14:textId="393800A9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Textile packaging will require standardised material identification and sorting information; packaging artwork will need updating.</w:t>
            </w:r>
            <w:r w:rsidR="00A041D5" w:rsidRPr="00A752E9">
              <w:rPr>
                <w:rFonts w:ascii="Arial" w:hAnsi="Arial" w:cs="Arial"/>
                <w:sz w:val="20"/>
                <w:szCs w:val="20"/>
              </w:rPr>
              <w:br/>
            </w:r>
            <w:r w:rsidR="00A041D5" w:rsidRPr="00A752E9">
              <w:rPr>
                <w:rFonts w:ascii="Arial" w:hAnsi="Arial" w:cs="Arial"/>
                <w:sz w:val="20"/>
                <w:szCs w:val="20"/>
              </w:rPr>
              <w:br/>
              <w:t>Packaging material identification must align with EU sorting and collection systems.</w:t>
            </w:r>
          </w:p>
        </w:tc>
      </w:tr>
      <w:tr w:rsidR="00CE3E6C" w:rsidRPr="00A752E9" w14:paraId="4870A84C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9695A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From 12 Feb 2029</w:t>
            </w:r>
          </w:p>
        </w:tc>
        <w:tc>
          <w:tcPr>
            <w:tcW w:w="0" w:type="auto"/>
            <w:vAlign w:val="center"/>
            <w:hideMark/>
          </w:tcPr>
          <w:p w14:paraId="3ADB5638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12</w:t>
            </w:r>
          </w:p>
        </w:tc>
        <w:tc>
          <w:tcPr>
            <w:tcW w:w="0" w:type="auto"/>
            <w:vAlign w:val="center"/>
            <w:hideMark/>
          </w:tcPr>
          <w:p w14:paraId="0B8788D9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Reusable packaging must carry a reusability label; QR code/digital data carrier may provide information on reuse systems, collection points and rotations.</w:t>
            </w:r>
          </w:p>
        </w:tc>
        <w:tc>
          <w:tcPr>
            <w:tcW w:w="0" w:type="auto"/>
            <w:vAlign w:val="center"/>
            <w:hideMark/>
          </w:tcPr>
          <w:p w14:paraId="6999B2E3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Reusable packaging will require clear identification and digital traceability.</w:t>
            </w:r>
          </w:p>
        </w:tc>
      </w:tr>
      <w:tr w:rsidR="00CE3E6C" w:rsidRPr="00A752E9" w14:paraId="473BE623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552CA" w14:textId="789F5ACB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752E9">
              <w:rPr>
                <w:rFonts w:ascii="Arial" w:hAnsi="Arial" w:cs="Arial"/>
                <w:sz w:val="20"/>
                <w:szCs w:val="20"/>
              </w:rPr>
              <w:t xml:space="preserve">From </w:t>
            </w:r>
            <w:r w:rsidR="00AB4CFF" w:rsidRPr="00A752E9">
              <w:rPr>
                <w:rFonts w:ascii="Arial" w:hAnsi="Arial" w:cs="Arial"/>
                <w:sz w:val="20"/>
                <w:szCs w:val="20"/>
              </w:rPr>
              <w:t xml:space="preserve"> 1</w:t>
            </w:r>
            <w:proofErr w:type="gramEnd"/>
            <w:r w:rsidR="00AB4CFF" w:rsidRPr="00A752E9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="00AB4CFF" w:rsidRPr="00A752E9">
              <w:rPr>
                <w:rFonts w:ascii="Arial" w:hAnsi="Arial" w:cs="Arial"/>
                <w:sz w:val="20"/>
                <w:szCs w:val="20"/>
              </w:rPr>
              <w:t xml:space="preserve"> Jan </w:t>
            </w:r>
            <w:r w:rsidRPr="00A752E9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0" w:type="auto"/>
            <w:vAlign w:val="center"/>
            <w:hideMark/>
          </w:tcPr>
          <w:p w14:paraId="7275C76D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6</w:t>
            </w:r>
          </w:p>
        </w:tc>
        <w:tc>
          <w:tcPr>
            <w:tcW w:w="0" w:type="auto"/>
            <w:vAlign w:val="center"/>
            <w:hideMark/>
          </w:tcPr>
          <w:p w14:paraId="2B709BB5" w14:textId="0158075F" w:rsidR="00CE3E6C" w:rsidRPr="00A752E9" w:rsidRDefault="00AB4CFF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Packaging placed on the EU market will need to meet EU design-for-recycling and recyclability performance requirements.</w:t>
            </w:r>
          </w:p>
        </w:tc>
        <w:tc>
          <w:tcPr>
            <w:tcW w:w="0" w:type="auto"/>
            <w:vAlign w:val="center"/>
            <w:hideMark/>
          </w:tcPr>
          <w:p w14:paraId="1A123304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Garment polybags, films, labels, coatings, adhesives and other packaging components will need to be designed for recycling.</w:t>
            </w:r>
          </w:p>
        </w:tc>
      </w:tr>
      <w:tr w:rsidR="00CE3E6C" w:rsidRPr="00A752E9" w14:paraId="723772C1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8A3B4" w14:textId="2741DABE" w:rsidR="00CE3E6C" w:rsidRPr="00A752E9" w:rsidRDefault="00F8331E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1 Jan 2030</w:t>
            </w:r>
          </w:p>
        </w:tc>
        <w:tc>
          <w:tcPr>
            <w:tcW w:w="0" w:type="auto"/>
            <w:vAlign w:val="center"/>
            <w:hideMark/>
          </w:tcPr>
          <w:p w14:paraId="60AD2C2C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7</w:t>
            </w:r>
          </w:p>
        </w:tc>
        <w:tc>
          <w:tcPr>
            <w:tcW w:w="0" w:type="auto"/>
            <w:vAlign w:val="center"/>
            <w:hideMark/>
          </w:tcPr>
          <w:p w14:paraId="6E847085" w14:textId="0082D222" w:rsidR="00CE3E6C" w:rsidRPr="00A752E9" w:rsidRDefault="00A041D5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 xml:space="preserve">Packaging material must have </w:t>
            </w:r>
            <w:r w:rsidR="00CE3E6C" w:rsidRPr="00A752E9">
              <w:rPr>
                <w:rFonts w:ascii="Arial" w:hAnsi="Arial" w:cs="Arial"/>
                <w:sz w:val="20"/>
                <w:szCs w:val="20"/>
              </w:rPr>
              <w:t>Minimum recycled content: 30% PET contact-sensitive, 10% non-PET contact-sensitive and 35% other plastic packaging.</w:t>
            </w:r>
          </w:p>
        </w:tc>
        <w:tc>
          <w:tcPr>
            <w:tcW w:w="0" w:type="auto"/>
            <w:vAlign w:val="center"/>
            <w:hideMark/>
          </w:tcPr>
          <w:p w14:paraId="69DD84AB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Significant shift from virgin to recycled plastic packaging, particularly relevant to plastic garment packaging.</w:t>
            </w:r>
          </w:p>
        </w:tc>
      </w:tr>
      <w:tr w:rsidR="00CE3E6C" w:rsidRPr="00A752E9" w14:paraId="22CAC42B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A3FC3" w14:textId="5111F5D7" w:rsidR="00CE3E6C" w:rsidRPr="00A752E9" w:rsidRDefault="00F8331E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1 Jan 2030</w:t>
            </w:r>
          </w:p>
        </w:tc>
        <w:tc>
          <w:tcPr>
            <w:tcW w:w="0" w:type="auto"/>
            <w:vAlign w:val="center"/>
            <w:hideMark/>
          </w:tcPr>
          <w:p w14:paraId="59ACFA2C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Packaging minimisation</w:t>
            </w:r>
          </w:p>
        </w:tc>
        <w:tc>
          <w:tcPr>
            <w:tcW w:w="0" w:type="auto"/>
            <w:vAlign w:val="center"/>
            <w:hideMark/>
          </w:tcPr>
          <w:p w14:paraId="5C065E1F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Packaging weight and volume must be reduced to the minimum necessary to perform its function.</w:t>
            </w:r>
          </w:p>
        </w:tc>
        <w:tc>
          <w:tcPr>
            <w:tcW w:w="0" w:type="auto"/>
            <w:vAlign w:val="center"/>
            <w:hideMark/>
          </w:tcPr>
          <w:p w14:paraId="7B55B9ED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Exporters will need to reduce unnecessary packaging material, excessive layers and oversized packaging.</w:t>
            </w:r>
          </w:p>
        </w:tc>
      </w:tr>
      <w:tr w:rsidR="00CE3E6C" w:rsidRPr="00A752E9" w14:paraId="745FF2B9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45DE4" w14:textId="7010A2E3" w:rsidR="00CE3E6C" w:rsidRPr="00A752E9" w:rsidRDefault="00F8331E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lastRenderedPageBreak/>
              <w:t>1 Jan 2030</w:t>
            </w:r>
          </w:p>
        </w:tc>
        <w:tc>
          <w:tcPr>
            <w:tcW w:w="0" w:type="auto"/>
            <w:vAlign w:val="center"/>
            <w:hideMark/>
          </w:tcPr>
          <w:p w14:paraId="0922DD7B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15 / Conformity</w:t>
            </w:r>
          </w:p>
        </w:tc>
        <w:tc>
          <w:tcPr>
            <w:tcW w:w="0" w:type="auto"/>
            <w:vAlign w:val="center"/>
            <w:hideMark/>
          </w:tcPr>
          <w:p w14:paraId="19976F82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Packaging placed on the EU market must comply with applicable PPWR requirements and undergo the required conformity assessment.</w:t>
            </w:r>
          </w:p>
        </w:tc>
        <w:tc>
          <w:tcPr>
            <w:tcW w:w="0" w:type="auto"/>
            <w:vAlign w:val="center"/>
            <w:hideMark/>
          </w:tcPr>
          <w:p w14:paraId="619D8E10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Exporters and EU buyers will need technical evidence demonstrating packaging compliance.</w:t>
            </w:r>
          </w:p>
        </w:tc>
      </w:tr>
      <w:tr w:rsidR="00F8331E" w:rsidRPr="00A752E9" w14:paraId="5B136CB7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F872A" w14:textId="08DCCBEC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1 Jan 2030</w:t>
            </w:r>
          </w:p>
        </w:tc>
        <w:tc>
          <w:tcPr>
            <w:tcW w:w="0" w:type="auto"/>
            <w:vAlign w:val="center"/>
            <w:hideMark/>
          </w:tcPr>
          <w:p w14:paraId="432115B9" w14:textId="0B1A6FFB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6 – Recyclability Grades</w:t>
            </w:r>
          </w:p>
        </w:tc>
        <w:tc>
          <w:tcPr>
            <w:tcW w:w="0" w:type="auto"/>
            <w:vAlign w:val="center"/>
            <w:hideMark/>
          </w:tcPr>
          <w:p w14:paraId="674B2E46" w14:textId="02770B42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Packaging is assessed according to recyclability performance Grades A, B and C, with A representing the highest performance.</w:t>
            </w:r>
          </w:p>
        </w:tc>
        <w:tc>
          <w:tcPr>
            <w:tcW w:w="0" w:type="auto"/>
            <w:vAlign w:val="center"/>
            <w:hideMark/>
          </w:tcPr>
          <w:p w14:paraId="4A3B2BFD" w14:textId="54763043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Exporters should design packaging to achieve high recyclability performance, rather than relying only on a generic “recyclable” claim.</w:t>
            </w:r>
          </w:p>
        </w:tc>
      </w:tr>
      <w:tr w:rsidR="00F8331E" w:rsidRPr="00A752E9" w14:paraId="6674234F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E8039" w14:textId="3C300699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1 Jan 2035</w:t>
            </w:r>
          </w:p>
        </w:tc>
        <w:tc>
          <w:tcPr>
            <w:tcW w:w="0" w:type="auto"/>
            <w:vAlign w:val="center"/>
            <w:hideMark/>
          </w:tcPr>
          <w:p w14:paraId="5FC9D915" w14:textId="7436BF85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6</w:t>
            </w:r>
          </w:p>
        </w:tc>
        <w:tc>
          <w:tcPr>
            <w:tcW w:w="0" w:type="auto"/>
            <w:vAlign w:val="center"/>
            <w:hideMark/>
          </w:tcPr>
          <w:p w14:paraId="5D99D451" w14:textId="020BA848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Packaging must additionally demonstrate recycling at scale.</w:t>
            </w:r>
          </w:p>
        </w:tc>
        <w:tc>
          <w:tcPr>
            <w:tcW w:w="0" w:type="auto"/>
            <w:vAlign w:val="center"/>
            <w:hideMark/>
          </w:tcPr>
          <w:p w14:paraId="71731186" w14:textId="7B708049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Packaging must have an actual, functioning recycling pathway at scale, not merely be technically recyclable.</w:t>
            </w:r>
          </w:p>
        </w:tc>
      </w:tr>
      <w:tr w:rsidR="00F8331E" w:rsidRPr="00A752E9" w14:paraId="64A400A4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B819E" w14:textId="7766BC5F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1 Jan 2035</w:t>
            </w:r>
          </w:p>
        </w:tc>
        <w:tc>
          <w:tcPr>
            <w:tcW w:w="0" w:type="auto"/>
            <w:vAlign w:val="center"/>
            <w:hideMark/>
          </w:tcPr>
          <w:p w14:paraId="6D283DCC" w14:textId="5A53D2D8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6 – Grade C</w:t>
            </w:r>
          </w:p>
        </w:tc>
        <w:tc>
          <w:tcPr>
            <w:tcW w:w="0" w:type="auto"/>
            <w:vAlign w:val="center"/>
            <w:hideMark/>
          </w:tcPr>
          <w:p w14:paraId="3BD7AC2D" w14:textId="311F4F4A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Packaging with the lowest recyclability performance (Grade C) becomes subject to the stricter recyclability requirements applicable from this stage.</w:t>
            </w:r>
          </w:p>
        </w:tc>
        <w:tc>
          <w:tcPr>
            <w:tcW w:w="0" w:type="auto"/>
            <w:vAlign w:val="center"/>
            <w:hideMark/>
          </w:tcPr>
          <w:p w14:paraId="5BF517EF" w14:textId="1DD63F3D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Textile exporters should phase out low-performing/Grade C packaging and move towards higher-performing formats before this deadline.</w:t>
            </w:r>
          </w:p>
        </w:tc>
      </w:tr>
      <w:tr w:rsidR="00F8331E" w:rsidRPr="00A752E9" w14:paraId="0958F7B2" w14:textId="77777777" w:rsidTr="00AB4CFF">
        <w:trPr>
          <w:tblCellSpacing w:w="15" w:type="dxa"/>
        </w:trPr>
        <w:tc>
          <w:tcPr>
            <w:tcW w:w="0" w:type="auto"/>
            <w:vAlign w:val="center"/>
          </w:tcPr>
          <w:p w14:paraId="4E68F253" w14:textId="4CAC9BF3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1 Jan 2038</w:t>
            </w:r>
          </w:p>
        </w:tc>
        <w:tc>
          <w:tcPr>
            <w:tcW w:w="0" w:type="auto"/>
            <w:vAlign w:val="center"/>
          </w:tcPr>
          <w:p w14:paraId="2B253CE9" w14:textId="14E79179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6 – Grades A/B</w:t>
            </w:r>
          </w:p>
        </w:tc>
        <w:tc>
          <w:tcPr>
            <w:tcW w:w="0" w:type="auto"/>
            <w:vAlign w:val="center"/>
          </w:tcPr>
          <w:p w14:paraId="4E9E798E" w14:textId="12C47A6B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The minimum recyclability performance threshold becomes stricter, with packaging generally required to achieve Grade B or above; Grade A remains the highest performance level.</w:t>
            </w:r>
          </w:p>
        </w:tc>
        <w:tc>
          <w:tcPr>
            <w:tcW w:w="0" w:type="auto"/>
            <w:vAlign w:val="center"/>
          </w:tcPr>
          <w:p w14:paraId="30AA1E4B" w14:textId="16991BD6" w:rsidR="00F8331E" w:rsidRPr="00A752E9" w:rsidRDefault="00F8331E" w:rsidP="00F8331E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Grade C packaging will no longer provide the required level of market access; exporters should target Grade A/B packaging.</w:t>
            </w:r>
          </w:p>
        </w:tc>
      </w:tr>
      <w:tr w:rsidR="00CE3E6C" w:rsidRPr="00A752E9" w14:paraId="119900F5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98519" w14:textId="5D1C41CC" w:rsidR="00CE3E6C" w:rsidRPr="00A752E9" w:rsidRDefault="00F8331E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1 Jan 2040</w:t>
            </w:r>
          </w:p>
        </w:tc>
        <w:tc>
          <w:tcPr>
            <w:tcW w:w="0" w:type="auto"/>
            <w:vAlign w:val="center"/>
            <w:hideMark/>
          </w:tcPr>
          <w:p w14:paraId="2233CAAE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 7</w:t>
            </w:r>
          </w:p>
        </w:tc>
        <w:tc>
          <w:tcPr>
            <w:tcW w:w="0" w:type="auto"/>
            <w:vAlign w:val="center"/>
            <w:hideMark/>
          </w:tcPr>
          <w:p w14:paraId="1D70A346" w14:textId="49089CA1" w:rsidR="003E5D6A" w:rsidRPr="00A752E9" w:rsidRDefault="004546AB" w:rsidP="003E5D6A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</w:t>
            </w:r>
            <w:r w:rsidR="003E5D6A" w:rsidRPr="00A752E9">
              <w:rPr>
                <w:rFonts w:ascii="Arial" w:hAnsi="Arial" w:cs="Arial"/>
                <w:sz w:val="20"/>
                <w:szCs w:val="20"/>
              </w:rPr>
              <w:t xml:space="preserve">ny plastic part of packaging placed on the market shall contain the following minimum percentage of recycled content recovered from post-consumer plastic waste, per packaging type and format as referred to in Table 1 of Annex II, calculated as an average per manufacturing plant and year: </w:t>
            </w:r>
          </w:p>
          <w:p w14:paraId="05347C24" w14:textId="77777777" w:rsidR="003E5D6A" w:rsidRPr="00A752E9" w:rsidRDefault="003E5D6A" w:rsidP="003E5D6A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(a) 30 % for contact-sensitive packaging made from polyethylene terephthalate (PET) as the major component, except single-use plastic beverage bottles;</w:t>
            </w:r>
          </w:p>
          <w:p w14:paraId="498B1E09" w14:textId="77777777" w:rsidR="003E5D6A" w:rsidRPr="00A752E9" w:rsidRDefault="003E5D6A" w:rsidP="003E5D6A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 xml:space="preserve">(b) 10 % for contact-sensitive packaging made from plastic materials other than PET, except single-use plastic beverage bottles; </w:t>
            </w:r>
          </w:p>
          <w:p w14:paraId="37F32A57" w14:textId="20C8D6D0" w:rsidR="00CE3E6C" w:rsidRPr="00A752E9" w:rsidRDefault="003E5D6A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(c) 35 % for plastic packaging other than those referred to in points (a), (b) and (c) of this paragraph</w:t>
            </w:r>
          </w:p>
        </w:tc>
        <w:tc>
          <w:tcPr>
            <w:tcW w:w="0" w:type="auto"/>
            <w:vAlign w:val="center"/>
            <w:hideMark/>
          </w:tcPr>
          <w:p w14:paraId="06AC0DC5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Strong long-term move away from virgin plastic; packaging suppliers will need significantly higher recycled-content capacity.</w:t>
            </w:r>
          </w:p>
        </w:tc>
      </w:tr>
      <w:tr w:rsidR="00CE3E6C" w:rsidRPr="00A752E9" w14:paraId="0FAC1F93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667EF" w14:textId="75B8838B" w:rsidR="00CE3E6C" w:rsidRPr="00A752E9" w:rsidRDefault="00F8331E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lastRenderedPageBreak/>
              <w:t>1 Jan 2040</w:t>
            </w:r>
          </w:p>
        </w:tc>
        <w:tc>
          <w:tcPr>
            <w:tcW w:w="0" w:type="auto"/>
            <w:vAlign w:val="center"/>
            <w:hideMark/>
          </w:tcPr>
          <w:p w14:paraId="178E06C1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Reuse requirements</w:t>
            </w:r>
          </w:p>
        </w:tc>
        <w:tc>
          <w:tcPr>
            <w:tcW w:w="0" w:type="auto"/>
            <w:vAlign w:val="center"/>
            <w:hideMark/>
          </w:tcPr>
          <w:p w14:paraId="46CF75CC" w14:textId="77777777" w:rsidR="003E5D6A" w:rsidRPr="00A752E9" w:rsidRDefault="003E5D6A" w:rsidP="003E5D6A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Plastic packaging must contain minimum recycled content from post-consumer plastic waste:</w:t>
            </w:r>
          </w:p>
          <w:p w14:paraId="1FE6E7B5" w14:textId="77777777" w:rsidR="003E5D6A" w:rsidRPr="00A752E9" w:rsidRDefault="003E5D6A" w:rsidP="003E5D6A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 xml:space="preserve">50% – contact-sensitive PET packaging </w:t>
            </w:r>
          </w:p>
          <w:p w14:paraId="7853C100" w14:textId="77777777" w:rsidR="003E5D6A" w:rsidRPr="00A752E9" w:rsidRDefault="003E5D6A" w:rsidP="003E5D6A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 xml:space="preserve">25% – contact-sensitive non-PET plastic packaging </w:t>
            </w:r>
          </w:p>
          <w:p w14:paraId="40200A52" w14:textId="77777777" w:rsidR="003E5D6A" w:rsidRPr="00A752E9" w:rsidRDefault="003E5D6A" w:rsidP="003E5D6A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 xml:space="preserve">65% – other plastic packaging </w:t>
            </w:r>
          </w:p>
          <w:p w14:paraId="2838C63B" w14:textId="77777777" w:rsidR="003E5D6A" w:rsidRPr="00A752E9" w:rsidRDefault="003E5D6A" w:rsidP="003E5D6A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Recycled content must come from qualifying post-consumer plastic waste collected under EU or equivalent standards.</w:t>
            </w:r>
          </w:p>
          <w:p w14:paraId="3EA5E62A" w14:textId="3E9A76E1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7BC11B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Textile supply chains will need to increasingly adopt reusable pallets, boxes, crates and other transport packaging systems.</w:t>
            </w:r>
          </w:p>
        </w:tc>
      </w:tr>
      <w:tr w:rsidR="00CE3E6C" w:rsidRPr="00A752E9" w14:paraId="553209F0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3FA21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0" w:type="auto"/>
            <w:vAlign w:val="center"/>
            <w:hideMark/>
          </w:tcPr>
          <w:p w14:paraId="1FDFB8E1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Articles 15–19</w:t>
            </w:r>
          </w:p>
        </w:tc>
        <w:tc>
          <w:tcPr>
            <w:tcW w:w="0" w:type="auto"/>
            <w:vAlign w:val="center"/>
            <w:hideMark/>
          </w:tcPr>
          <w:p w14:paraId="64C45100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Manufacturers, importers and distributors must verify compliance, maintain documentation and take corrective action for non-compliant packaging.</w:t>
            </w:r>
          </w:p>
        </w:tc>
        <w:tc>
          <w:tcPr>
            <w:tcW w:w="0" w:type="auto"/>
            <w:vAlign w:val="center"/>
            <w:hideMark/>
          </w:tcPr>
          <w:p w14:paraId="5A644EDB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Compliance responsibility extends across the entire textile packaging supply chain, not only the packaging manufacturer.</w:t>
            </w:r>
          </w:p>
        </w:tc>
      </w:tr>
      <w:tr w:rsidR="00CE3E6C" w:rsidRPr="00A752E9" w14:paraId="7AD25DCE" w14:textId="77777777" w:rsidTr="00AB4C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428FB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0" w:type="auto"/>
            <w:vAlign w:val="center"/>
            <w:hideMark/>
          </w:tcPr>
          <w:p w14:paraId="49951B7F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Articles 44–45</w:t>
            </w:r>
          </w:p>
        </w:tc>
        <w:tc>
          <w:tcPr>
            <w:tcW w:w="0" w:type="auto"/>
            <w:vAlign w:val="center"/>
            <w:hideMark/>
          </w:tcPr>
          <w:p w14:paraId="784CA9C8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Producer registration and Extended Producer Responsibility (EPR) obligations apply to producers placing packaging/packaged products on EU markets.</w:t>
            </w:r>
          </w:p>
        </w:tc>
        <w:tc>
          <w:tcPr>
            <w:tcW w:w="0" w:type="auto"/>
            <w:vAlign w:val="center"/>
            <w:hideMark/>
          </w:tcPr>
          <w:p w14:paraId="301A44E9" w14:textId="77777777" w:rsidR="00CE3E6C" w:rsidRPr="00A752E9" w:rsidRDefault="00CE3E6C" w:rsidP="00AB4CFF">
            <w:pPr>
              <w:rPr>
                <w:rFonts w:ascii="Arial" w:hAnsi="Arial" w:cs="Arial"/>
                <w:sz w:val="20"/>
                <w:szCs w:val="20"/>
              </w:rPr>
            </w:pPr>
            <w:r w:rsidRPr="00A752E9">
              <w:rPr>
                <w:rFonts w:ascii="Arial" w:hAnsi="Arial" w:cs="Arial"/>
                <w:sz w:val="20"/>
                <w:szCs w:val="20"/>
              </w:rPr>
              <w:t>Indian exporters selling directly into the EU may need to address EPR registration, reporting, fees and authorised-representative requirements, depending on their role.</w:t>
            </w:r>
          </w:p>
        </w:tc>
      </w:tr>
    </w:tbl>
    <w:p w14:paraId="55A3F4F5" w14:textId="77777777" w:rsidR="00662AFC" w:rsidRDefault="00662AFC" w:rsidP="00CE3E6C">
      <w:pPr>
        <w:jc w:val="center"/>
      </w:pPr>
    </w:p>
    <w:sectPr w:rsidR="00662AF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B167D" w14:textId="77777777" w:rsidR="00BB23EA" w:rsidRDefault="00BB23EA" w:rsidP="00CE3E6C">
      <w:pPr>
        <w:spacing w:after="0" w:line="240" w:lineRule="auto"/>
      </w:pPr>
      <w:r>
        <w:separator/>
      </w:r>
    </w:p>
  </w:endnote>
  <w:endnote w:type="continuationSeparator" w:id="0">
    <w:p w14:paraId="55FBB514" w14:textId="77777777" w:rsidR="00BB23EA" w:rsidRDefault="00BB23EA" w:rsidP="00CE3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459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494071" w14:textId="1E32FB1E" w:rsidR="00A752E9" w:rsidRDefault="00A752E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D86748" w14:textId="77777777" w:rsidR="00CE3E6C" w:rsidRDefault="00CE3E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54D28" w14:textId="77777777" w:rsidR="00BB23EA" w:rsidRDefault="00BB23EA" w:rsidP="00CE3E6C">
      <w:pPr>
        <w:spacing w:after="0" w:line="240" w:lineRule="auto"/>
      </w:pPr>
      <w:r>
        <w:separator/>
      </w:r>
    </w:p>
  </w:footnote>
  <w:footnote w:type="continuationSeparator" w:id="0">
    <w:p w14:paraId="620CDAF1" w14:textId="77777777" w:rsidR="00BB23EA" w:rsidRDefault="00BB23EA" w:rsidP="00CE3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8424" w14:textId="7BA335D9" w:rsidR="00CE3E6C" w:rsidRPr="00CE3E6C" w:rsidRDefault="00565B81" w:rsidP="00CE3E6C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Highlights of the </w:t>
    </w:r>
    <w:r w:rsidR="00CE3E6C" w:rsidRPr="00CE3E6C">
      <w:rPr>
        <w:b/>
        <w:bCs/>
        <w:sz w:val="28"/>
        <w:szCs w:val="28"/>
      </w:rPr>
      <w:t>EU Packaging and Packaging Waste Regulation (PPWR)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4B59CB"/>
    <w:multiLevelType w:val="multilevel"/>
    <w:tmpl w:val="0D9ED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9781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E6C"/>
    <w:rsid w:val="001F70DA"/>
    <w:rsid w:val="00211D7F"/>
    <w:rsid w:val="003332BB"/>
    <w:rsid w:val="003E5D6A"/>
    <w:rsid w:val="003F530E"/>
    <w:rsid w:val="004546AB"/>
    <w:rsid w:val="00565B81"/>
    <w:rsid w:val="00662AFC"/>
    <w:rsid w:val="00735B0C"/>
    <w:rsid w:val="00743FC5"/>
    <w:rsid w:val="00A041D5"/>
    <w:rsid w:val="00A752E9"/>
    <w:rsid w:val="00AB4CFF"/>
    <w:rsid w:val="00BB23EA"/>
    <w:rsid w:val="00CE3E6C"/>
    <w:rsid w:val="00CF4E3C"/>
    <w:rsid w:val="00E515A6"/>
    <w:rsid w:val="00F8331E"/>
    <w:rsid w:val="00FE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DA1CF"/>
  <w15:chartTrackingRefBased/>
  <w15:docId w15:val="{85D82ECC-09B5-493A-8279-919999D7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3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E6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3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3E6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3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3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3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3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E6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E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E6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E6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3E6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3E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3E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3E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3E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3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3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3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3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3E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3E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3E6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E6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E6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3E6C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3E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E6C"/>
  </w:style>
  <w:style w:type="paragraph" w:styleId="Footer">
    <w:name w:val="footer"/>
    <w:basedOn w:val="Normal"/>
    <w:link w:val="FooterChar"/>
    <w:uiPriority w:val="99"/>
    <w:unhideWhenUsed/>
    <w:rsid w:val="00CE3E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Ananya Sharma</dc:creator>
  <cp:keywords/>
  <dc:description/>
  <cp:lastModifiedBy>Anmol Gupta</cp:lastModifiedBy>
  <cp:revision>11</cp:revision>
  <cp:lastPrinted>2026-08-10T08:02:00Z</cp:lastPrinted>
  <dcterms:created xsi:type="dcterms:W3CDTF">2026-08-10T08:00:00Z</dcterms:created>
  <dcterms:modified xsi:type="dcterms:W3CDTF">2026-08-10T09:46:00Z</dcterms:modified>
</cp:coreProperties>
</file>